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Default="0040155A">
      <w:r w:rsidRPr="0040155A">
        <w:rPr>
          <w:noProof/>
        </w:rPr>
        <w:drawing>
          <wp:inline distT="0" distB="0" distL="0" distR="0">
            <wp:extent cx="8862233" cy="6044540"/>
            <wp:effectExtent l="19050" t="0" r="15067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1DA6" w:rsidSect="00401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62" w:rsidRDefault="002B0E62" w:rsidP="002B0E62">
      <w:pPr>
        <w:spacing w:line="240" w:lineRule="auto"/>
      </w:pPr>
      <w:r>
        <w:separator/>
      </w:r>
    </w:p>
  </w:endnote>
  <w:endnote w:type="continuationSeparator" w:id="0">
    <w:p w:rsidR="002B0E62" w:rsidRDefault="002B0E62" w:rsidP="002B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D6" w:rsidRDefault="00E948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62" w:rsidRPr="002B0E62" w:rsidRDefault="00E948D6" w:rsidP="002B0E62">
    <w:pPr>
      <w:pStyle w:val="Footer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October</w:t>
    </w:r>
    <w:r w:rsidR="002B0E62" w:rsidRPr="002B0E62">
      <w:rPr>
        <w:rFonts w:ascii="Arial" w:hAnsi="Arial" w:cs="Arial"/>
        <w:i/>
        <w:sz w:val="16"/>
        <w:szCs w:val="16"/>
      </w:rPr>
      <w:t xml:space="preserve">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D6" w:rsidRDefault="00E94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62" w:rsidRDefault="002B0E62" w:rsidP="002B0E62">
      <w:pPr>
        <w:spacing w:line="240" w:lineRule="auto"/>
      </w:pPr>
      <w:r>
        <w:separator/>
      </w:r>
    </w:p>
  </w:footnote>
  <w:footnote w:type="continuationSeparator" w:id="0">
    <w:p w:rsidR="002B0E62" w:rsidRDefault="002B0E62" w:rsidP="002B0E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D6" w:rsidRDefault="00E94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D6" w:rsidRPr="00E510CD" w:rsidRDefault="00E948D6" w:rsidP="00E948D6">
    <w:pPr>
      <w:pStyle w:val="Header"/>
      <w:tabs>
        <w:tab w:val="left" w:pos="1350"/>
      </w:tabs>
      <w:ind w:left="1350" w:hanging="1350"/>
      <w:rPr>
        <w:b/>
        <w:sz w:val="24"/>
        <w:szCs w:val="24"/>
      </w:rPr>
    </w:pPr>
    <w:r w:rsidRPr="00E510CD">
      <w:rPr>
        <w:rFonts w:ascii="Arial" w:hAnsi="Arial" w:cs="Arial"/>
        <w:b/>
        <w:sz w:val="24"/>
        <w:szCs w:val="24"/>
      </w:rPr>
      <w:t xml:space="preserve">Figure </w:t>
    </w:r>
    <w:r w:rsidR="00BE7882">
      <w:rPr>
        <w:rFonts w:ascii="Arial" w:hAnsi="Arial" w:cs="Arial"/>
        <w:b/>
        <w:sz w:val="24"/>
        <w:szCs w:val="24"/>
      </w:rPr>
      <w:t>5</w:t>
    </w:r>
    <w:r w:rsidRPr="00E510CD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ab/>
      <w:t>Maximum Acceptable Flow Range Graph.</w:t>
    </w:r>
  </w:p>
  <w:p w:rsidR="002B0E62" w:rsidRDefault="002B0E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D6" w:rsidRDefault="00E948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5A"/>
    <w:rsid w:val="002B0E62"/>
    <w:rsid w:val="00363E60"/>
    <w:rsid w:val="0040155A"/>
    <w:rsid w:val="005915F4"/>
    <w:rsid w:val="006628B6"/>
    <w:rsid w:val="006F2933"/>
    <w:rsid w:val="00930159"/>
    <w:rsid w:val="0094792C"/>
    <w:rsid w:val="00B4391C"/>
    <w:rsid w:val="00BE7882"/>
    <w:rsid w:val="00BF50F9"/>
    <w:rsid w:val="00D82576"/>
    <w:rsid w:val="00E83129"/>
    <w:rsid w:val="00E948D6"/>
    <w:rsid w:val="00EB1DA6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E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62"/>
  </w:style>
  <w:style w:type="paragraph" w:styleId="Footer">
    <w:name w:val="footer"/>
    <w:basedOn w:val="Normal"/>
    <w:link w:val="FooterChar"/>
    <w:uiPriority w:val="99"/>
    <w:semiHidden/>
    <w:unhideWhenUsed/>
    <w:rsid w:val="002B0E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CWA\2011\WW%20FG\RRWWFS%20Data%20Flow%20Pref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2000"/>
            </a:pPr>
            <a:r>
              <a:rPr lang="en-US" sz="2000" baseline="0"/>
              <a:t>Maximum Acceptable Flow Range</a:t>
            </a:r>
            <a:endParaRPr lang="en-US" sz="2000"/>
          </a:p>
        </c:rich>
      </c:tx>
      <c:layout>
        <c:manualLayout>
          <c:xMode val="edge"/>
          <c:yMode val="edge"/>
          <c:x val="0.37102843130427943"/>
          <c:y val="3.4437847035784216E-2"/>
        </c:manualLayout>
      </c:layout>
      <c:overlay val="1"/>
      <c:spPr>
        <a:noFill/>
        <a:ln>
          <a:noFill/>
        </a:ln>
      </c:spPr>
    </c:title>
    <c:plotArea>
      <c:layout>
        <c:manualLayout>
          <c:layoutTarget val="inner"/>
          <c:xMode val="edge"/>
          <c:yMode val="edge"/>
          <c:x val="0.10692147227453862"/>
          <c:y val="0.11429124466047061"/>
          <c:w val="0.81861095279259821"/>
          <c:h val="0.73406313797245049"/>
        </c:manualLayout>
      </c:layout>
      <c:scatterChart>
        <c:scatterStyle val="lineMarker"/>
        <c:ser>
          <c:idx val="2"/>
          <c:order val="0"/>
          <c:tx>
            <c:strRef>
              <c:f>'Range Graph'!$F$5</c:f>
              <c:strCache>
                <c:ptCount val="1"/>
                <c:pt idx="0">
                  <c:v>Average Maximum Acceptable Flow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plus>
              <c:numRef>
                <c:f>'Range Graph'!$H$44:$H$52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776</c:v>
                  </c:pt>
                  <c:pt idx="2">
                    <c:v>252</c:v>
                  </c:pt>
                  <c:pt idx="3">
                    <c:v>312</c:v>
                  </c:pt>
                  <c:pt idx="4">
                    <c:v>0</c:v>
                  </c:pt>
                  <c:pt idx="5">
                    <c:v>636</c:v>
                  </c:pt>
                  <c:pt idx="6">
                    <c:v>498</c:v>
                  </c:pt>
                  <c:pt idx="7">
                    <c:v>44</c:v>
                  </c:pt>
                  <c:pt idx="8">
                    <c:v>569</c:v>
                  </c:pt>
                </c:numCache>
              </c:numRef>
            </c:plus>
            <c:minus>
              <c:numRef>
                <c:f>'Range Graph'!$G$44:$G$52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519</c:v>
                  </c:pt>
                  <c:pt idx="2">
                    <c:v>323</c:v>
                  </c:pt>
                  <c:pt idx="3">
                    <c:v>298</c:v>
                  </c:pt>
                  <c:pt idx="4">
                    <c:v>0</c:v>
                  </c:pt>
                  <c:pt idx="5">
                    <c:v>504</c:v>
                  </c:pt>
                  <c:pt idx="6">
                    <c:v>416</c:v>
                  </c:pt>
                  <c:pt idx="7">
                    <c:v>45</c:v>
                  </c:pt>
                  <c:pt idx="8">
                    <c:v>521</c:v>
                  </c:pt>
                </c:numCache>
              </c:numRef>
            </c:minus>
            <c:spPr>
              <a:ln w="76200">
                <a:solidFill>
                  <a:srgbClr val="9BBB59">
                    <a:lumMod val="75000"/>
                  </a:srgbClr>
                </a:solidFill>
                <a:headEnd w="lg" len="lg"/>
                <a:tailEnd w="lg" len="lg"/>
              </a:ln>
            </c:spPr>
          </c:errBars>
          <c:xVal>
            <c:numRef>
              <c:f>'Range Graph'!$A$6:$A$14</c:f>
              <c:numCache>
                <c:formatCode>General</c:formatCode>
                <c:ptCount val="9"/>
                <c:pt idx="0">
                  <c:v>216</c:v>
                </c:pt>
                <c:pt idx="1">
                  <c:v>298</c:v>
                </c:pt>
                <c:pt idx="2">
                  <c:v>595.5</c:v>
                </c:pt>
                <c:pt idx="3">
                  <c:v>641</c:v>
                </c:pt>
                <c:pt idx="4">
                  <c:v>790.5</c:v>
                </c:pt>
                <c:pt idx="5">
                  <c:v>874</c:v>
                </c:pt>
                <c:pt idx="6">
                  <c:v>926</c:v>
                </c:pt>
                <c:pt idx="7">
                  <c:v>991.5</c:v>
                </c:pt>
                <c:pt idx="8">
                  <c:v>1230</c:v>
                </c:pt>
              </c:numCache>
            </c:numRef>
          </c:xVal>
          <c:yVal>
            <c:numRef>
              <c:f>'Range Graph'!$F$6:$F$14</c:f>
              <c:numCache>
                <c:formatCode>General</c:formatCode>
                <c:ptCount val="9"/>
                <c:pt idx="0">
                  <c:v>1500</c:v>
                </c:pt>
                <c:pt idx="1">
                  <c:v>1224</c:v>
                </c:pt>
                <c:pt idx="2">
                  <c:v>1248</c:v>
                </c:pt>
                <c:pt idx="3">
                  <c:v>1478</c:v>
                </c:pt>
                <c:pt idx="4">
                  <c:v>983</c:v>
                </c:pt>
                <c:pt idx="5">
                  <c:v>1364</c:v>
                </c:pt>
                <c:pt idx="6">
                  <c:v>1223</c:v>
                </c:pt>
                <c:pt idx="7">
                  <c:v>1345</c:v>
                </c:pt>
                <c:pt idx="8">
                  <c:v>1721</c:v>
                </c:pt>
              </c:numCache>
            </c:numRef>
          </c:yVal>
        </c:ser>
        <c:axId val="89000960"/>
        <c:axId val="89159168"/>
      </c:scatterChart>
      <c:valAx>
        <c:axId val="89000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200"/>
                  <a:t>Trip Flow Range (cfs) (Average Flow</a:t>
                </a:r>
                <a:r>
                  <a:rPr lang="en-US" sz="1600"/>
                  <a:t>)</a:t>
                </a:r>
              </a:p>
            </c:rich>
          </c:tx>
          <c:layout>
            <c:manualLayout>
              <c:xMode val="edge"/>
              <c:yMode val="edge"/>
              <c:x val="0.37370113867510579"/>
              <c:y val="0.95541792394998248"/>
            </c:manualLayout>
          </c:layout>
        </c:title>
        <c:numFmt formatCode="#,##0" sourceLinked="0"/>
        <c:tickLblPos val="nextTo"/>
        <c:txPr>
          <a:bodyPr rot="-5400000" vert="horz"/>
          <a:lstStyle/>
          <a:p>
            <a:pPr>
              <a:defRPr sz="1600"/>
            </a:pPr>
            <a:endParaRPr lang="en-US"/>
          </a:p>
        </c:txPr>
        <c:crossAx val="89159168"/>
        <c:crosses val="autoZero"/>
        <c:crossBetween val="midCat"/>
        <c:majorUnit val="100"/>
      </c:valAx>
      <c:valAx>
        <c:axId val="89159168"/>
        <c:scaling>
          <c:orientation val="minMax"/>
          <c:max val="2400"/>
          <c:min val="20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200" baseline="0"/>
                  <a:t> Put-in Flow (cfs) - Ellicott Bridge</a:t>
                </a:r>
                <a:endParaRPr lang="en-US" sz="1200"/>
              </a:p>
            </c:rich>
          </c:tx>
          <c:layout/>
        </c:title>
        <c:numFmt formatCode="#,##0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89000960"/>
        <c:crosses val="autoZero"/>
        <c:crossBetween val="midCat"/>
        <c:majorUnit val="100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2011210481962717"/>
          <c:y val="0.11330482408263823"/>
          <c:w val="0.37309716411202482"/>
          <c:h val="5.0095256284018723E-2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0.22246</cdr:x>
      <cdr:y>0.35542</cdr:y>
    </cdr:from>
    <cdr:to>
      <cdr:x>0.27729</cdr:x>
      <cdr:y>0.4013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71492" y="2148349"/>
          <a:ext cx="485958" cy="27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</a:t>
          </a:r>
          <a:endParaRPr lang="en-US" sz="1400"/>
        </a:p>
      </cdr:txBody>
    </cdr:sp>
  </cdr:relSizeAnchor>
  <cdr:relSizeAnchor xmlns:cdr="http://schemas.openxmlformats.org/drawingml/2006/chartDrawing">
    <cdr:from>
      <cdr:x>0.26649</cdr:x>
      <cdr:y>0.1987</cdr:y>
    </cdr:from>
    <cdr:to>
      <cdr:x>0.33641</cdr:x>
      <cdr:y>0.23967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361739" y="1201046"/>
          <a:ext cx="619586" cy="2476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0.45117</cdr:x>
      <cdr:y>0.35965</cdr:y>
    </cdr:from>
    <cdr:to>
      <cdr:x>0.51805</cdr:x>
      <cdr:y>0.40553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998404" y="2173946"/>
          <a:ext cx="592645" cy="2773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0.48298</cdr:x>
      <cdr:y>0.25826</cdr:y>
    </cdr:from>
    <cdr:to>
      <cdr:x>0.55889</cdr:x>
      <cdr:y>0.30414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280277" y="1561046"/>
          <a:ext cx="672723" cy="27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n=7</a:t>
          </a:r>
          <a:endParaRPr lang="en-US" sz="1400"/>
        </a:p>
      </cdr:txBody>
    </cdr:sp>
  </cdr:relSizeAnchor>
  <cdr:relSizeAnchor xmlns:cdr="http://schemas.openxmlformats.org/drawingml/2006/chartDrawing">
    <cdr:from>
      <cdr:x>0.57832</cdr:x>
      <cdr:y>0.59819</cdr:y>
    </cdr:from>
    <cdr:to>
      <cdr:x>0.64272</cdr:x>
      <cdr:y>0.64407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125195" y="3615774"/>
          <a:ext cx="570755" cy="27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  <cdr:relSizeAnchor xmlns:cdr="http://schemas.openxmlformats.org/drawingml/2006/chartDrawing">
    <cdr:from>
      <cdr:x>0.63109</cdr:x>
      <cdr:y>0.19064</cdr:y>
    </cdr:from>
    <cdr:to>
      <cdr:x>0.71043</cdr:x>
      <cdr:y>0.23652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592901" y="1152318"/>
          <a:ext cx="703124" cy="27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n=9</a:t>
          </a:r>
          <a:endParaRPr lang="en-US" sz="1400"/>
        </a:p>
      </cdr:txBody>
    </cdr:sp>
  </cdr:relSizeAnchor>
  <cdr:relSizeAnchor xmlns:cdr="http://schemas.openxmlformats.org/drawingml/2006/chartDrawing">
    <cdr:from>
      <cdr:x>0.85289</cdr:x>
      <cdr:y>0.09529</cdr:y>
    </cdr:from>
    <cdr:to>
      <cdr:x>0.91679</cdr:x>
      <cdr:y>0.14117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7558468" y="575965"/>
          <a:ext cx="566358" cy="27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n=6</a:t>
          </a:r>
          <a:endParaRPr lang="en-US" sz="1400"/>
        </a:p>
      </cdr:txBody>
    </cdr:sp>
  </cdr:relSizeAnchor>
  <cdr:relSizeAnchor xmlns:cdr="http://schemas.openxmlformats.org/drawingml/2006/chartDrawing">
    <cdr:from>
      <cdr:x>0.66315</cdr:x>
      <cdr:y>0.28864</cdr:y>
    </cdr:from>
    <cdr:to>
      <cdr:x>0.72598</cdr:x>
      <cdr:y>0.33452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877025" y="1744677"/>
          <a:ext cx="556814" cy="27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n=15</a:t>
          </a:r>
          <a:endParaRPr lang="en-US" sz="1400"/>
        </a:p>
      </cdr:txBody>
    </cdr:sp>
  </cdr:relSizeAnchor>
  <cdr:relSizeAnchor xmlns:cdr="http://schemas.openxmlformats.org/drawingml/2006/chartDrawing">
    <cdr:from>
      <cdr:x>0.70331</cdr:x>
      <cdr:y>0.39551</cdr:y>
    </cdr:from>
    <cdr:to>
      <cdr:x>0.77385</cdr:x>
      <cdr:y>0.44139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232936" y="2390688"/>
          <a:ext cx="625064" cy="27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0" i="0" u="none" strike="noStrike">
              <a:solidFill>
                <a:srgbClr val="000000"/>
              </a:solidFill>
              <a:latin typeface="Calibri"/>
              <a:cs typeface="Calibri"/>
            </a:rPr>
            <a:t>n=2</a:t>
          </a:r>
          <a:endParaRPr lang="en-US" sz="14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6</cp:revision>
  <cp:lastPrinted>2011-10-12T20:00:00Z</cp:lastPrinted>
  <dcterms:created xsi:type="dcterms:W3CDTF">2011-09-12T21:19:00Z</dcterms:created>
  <dcterms:modified xsi:type="dcterms:W3CDTF">2011-10-12T20:02:00Z</dcterms:modified>
</cp:coreProperties>
</file>